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DC8CB" w14:textId="2589DDC1" w:rsidR="00FD2AE4" w:rsidRPr="008B039D" w:rsidRDefault="00FD2AE4" w:rsidP="00CE3562">
      <w:pPr>
        <w:pStyle w:val="Nagwek"/>
        <w:spacing w:after="480"/>
        <w:ind w:left="5245"/>
        <w:rPr>
          <w:rFonts w:ascii="Calibri" w:hAnsi="Calibri" w:cs="Calibri"/>
          <w:sz w:val="16"/>
          <w:szCs w:val="16"/>
        </w:rPr>
      </w:pPr>
      <w:r w:rsidRPr="008B039D">
        <w:rPr>
          <w:rFonts w:ascii="Calibri" w:hAnsi="Calibri" w:cs="Calibri"/>
          <w:sz w:val="16"/>
          <w:szCs w:val="16"/>
        </w:rPr>
        <w:t xml:space="preserve">Załącznik do uchwały nr </w:t>
      </w:r>
      <w:r w:rsidR="00926A6B" w:rsidRPr="008B039D">
        <w:rPr>
          <w:rFonts w:ascii="Calibri" w:hAnsi="Calibri" w:cs="Calibri"/>
          <w:sz w:val="16"/>
          <w:szCs w:val="16"/>
        </w:rPr>
        <w:t xml:space="preserve">… </w:t>
      </w:r>
      <w:r w:rsidR="00926A6B" w:rsidRPr="008B039D">
        <w:rPr>
          <w:rFonts w:ascii="Calibri" w:hAnsi="Calibri" w:cs="Calibri"/>
          <w:sz w:val="16"/>
          <w:szCs w:val="16"/>
        </w:rPr>
        <w:br/>
      </w:r>
      <w:r w:rsidRPr="008B039D">
        <w:rPr>
          <w:rFonts w:ascii="Calibri" w:hAnsi="Calibri" w:cs="Calibri"/>
          <w:sz w:val="16"/>
          <w:szCs w:val="16"/>
        </w:rPr>
        <w:t xml:space="preserve">Zarządu Województwa Mazowieckiego </w:t>
      </w:r>
      <w:r w:rsidR="00926A6B" w:rsidRPr="008B039D">
        <w:rPr>
          <w:rFonts w:ascii="Calibri" w:hAnsi="Calibri" w:cs="Calibri"/>
          <w:sz w:val="16"/>
          <w:szCs w:val="16"/>
        </w:rPr>
        <w:br/>
      </w:r>
      <w:r w:rsidRPr="008B039D">
        <w:rPr>
          <w:rFonts w:ascii="Calibri" w:hAnsi="Calibri" w:cs="Calibri"/>
          <w:sz w:val="16"/>
          <w:szCs w:val="16"/>
        </w:rPr>
        <w:t>z dnia</w:t>
      </w:r>
      <w:r w:rsidR="00926A6B" w:rsidRPr="008B039D">
        <w:rPr>
          <w:rFonts w:ascii="Calibri" w:hAnsi="Calibri" w:cs="Calibri"/>
          <w:sz w:val="16"/>
          <w:szCs w:val="16"/>
        </w:rPr>
        <w:t>………………………….</w:t>
      </w:r>
      <w:r w:rsidRPr="008B039D">
        <w:rPr>
          <w:rFonts w:ascii="Calibri" w:hAnsi="Calibri" w:cs="Calibri"/>
          <w:sz w:val="16"/>
          <w:szCs w:val="16"/>
        </w:rPr>
        <w:t xml:space="preserve"> r. </w:t>
      </w:r>
    </w:p>
    <w:p w14:paraId="1D017BE3" w14:textId="77777777" w:rsidR="00FD2AE4" w:rsidRPr="008B039D" w:rsidRDefault="00FD2AE4" w:rsidP="00FD2AE4">
      <w:pPr>
        <w:pStyle w:val="Tytu"/>
        <w:rPr>
          <w:rFonts w:ascii="Calibri" w:hAnsi="Calibri" w:cs="Calibri"/>
          <w:sz w:val="24"/>
          <w:szCs w:val="24"/>
        </w:rPr>
      </w:pPr>
      <w:r w:rsidRPr="008B039D">
        <w:rPr>
          <w:rFonts w:ascii="Calibri" w:hAnsi="Calibri" w:cs="Calibri"/>
        </w:rPr>
        <w:t>Regulamin budżetu obywatelskiego Województwa Mazowieckiego – edycja 2022</w:t>
      </w:r>
    </w:p>
    <w:p w14:paraId="02FA8BFB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1.</w:t>
      </w:r>
    </w:p>
    <w:p w14:paraId="60D8D833" w14:textId="77777777" w:rsidR="00FD2AE4" w:rsidRPr="008B039D" w:rsidRDefault="00FD2AE4" w:rsidP="005F7205">
      <w:pPr>
        <w:rPr>
          <w:rFonts w:ascii="Calibri" w:hAnsi="Calibri" w:cs="Calibri"/>
        </w:rPr>
      </w:pPr>
      <w:r w:rsidRPr="008B039D">
        <w:rPr>
          <w:rFonts w:ascii="Calibri" w:hAnsi="Calibri" w:cs="Calibri"/>
        </w:rPr>
        <w:t>Regulamin budżetu obywatelskiego Województwa Mazowieckiego – edycja 2022, zwany dalej „Regulaminem”, określa w szczególności:</w:t>
      </w:r>
    </w:p>
    <w:p w14:paraId="79EB0953" w14:textId="77777777" w:rsidR="00FD2AE4" w:rsidRPr="008B039D" w:rsidRDefault="00FD2AE4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harmonogram realizacji poszczególnych etapów budżetu obywatelskiego Województwa Mazowieckiego – edycja 2022;</w:t>
      </w:r>
    </w:p>
    <w:p w14:paraId="48D19C1B" w14:textId="77777777" w:rsidR="00FD2AE4" w:rsidRPr="008B039D" w:rsidRDefault="00FD2AE4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wysokość środków finansowych przeznaczonych na budżet obywatelski Województwa Mazowieckiego – edycja 2022;</w:t>
      </w:r>
    </w:p>
    <w:p w14:paraId="2C5E8177" w14:textId="261258D6" w:rsidR="00FD2AE4" w:rsidRPr="008B039D" w:rsidRDefault="00FD2AE4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wzory formularzy:</w:t>
      </w:r>
    </w:p>
    <w:p w14:paraId="3A7331AC" w14:textId="3AB753B0" w:rsidR="00926A6B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zgłoszenia projektu do budżetu obywatelskiego Województwa Mazowieckiego – edycja 2022,</w:t>
      </w:r>
    </w:p>
    <w:p w14:paraId="5B0D1DD3" w14:textId="558DC47A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listy poparcia dla </w:t>
      </w:r>
      <w:r w:rsidR="00926A6B" w:rsidRPr="008B039D">
        <w:rPr>
          <w:rFonts w:ascii="Calibri" w:hAnsi="Calibri" w:cs="Calibri"/>
        </w:rPr>
        <w:t>p</w:t>
      </w:r>
      <w:r w:rsidRPr="008B039D">
        <w:rPr>
          <w:rFonts w:ascii="Calibri" w:hAnsi="Calibri" w:cs="Calibri"/>
        </w:rPr>
        <w:t>rojektu</w:t>
      </w:r>
      <w:r w:rsidR="00926A6B" w:rsidRPr="008B039D">
        <w:rPr>
          <w:rFonts w:ascii="Calibri" w:hAnsi="Calibri" w:cs="Calibri"/>
        </w:rPr>
        <w:t xml:space="preserve"> do budżetu obywatelskiego Województwa Mazowieckiego – edycja 2022,</w:t>
      </w:r>
    </w:p>
    <w:p w14:paraId="662D4984" w14:textId="5E99FDC1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karty do głosowania na </w:t>
      </w:r>
      <w:r w:rsidR="00926A6B" w:rsidRPr="008B039D">
        <w:rPr>
          <w:rFonts w:ascii="Calibri" w:hAnsi="Calibri" w:cs="Calibri"/>
        </w:rPr>
        <w:t>p</w:t>
      </w:r>
      <w:r w:rsidRPr="008B039D">
        <w:rPr>
          <w:rFonts w:ascii="Calibri" w:hAnsi="Calibri" w:cs="Calibri"/>
        </w:rPr>
        <w:t>rojekty</w:t>
      </w:r>
      <w:r w:rsidR="00926A6B" w:rsidRPr="008B039D">
        <w:rPr>
          <w:rFonts w:ascii="Calibri" w:hAnsi="Calibri" w:cs="Calibri"/>
        </w:rPr>
        <w:t xml:space="preserve"> do budżetu obywatelskiego Województwa Mazowieckiego – edycja 2022.</w:t>
      </w:r>
    </w:p>
    <w:p w14:paraId="726A3FE4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2.</w:t>
      </w:r>
    </w:p>
    <w:p w14:paraId="406A72B5" w14:textId="08007BF7" w:rsidR="00FD2AE4" w:rsidRPr="008B039D" w:rsidRDefault="00FD2AE4" w:rsidP="00926A6B">
      <w:pPr>
        <w:rPr>
          <w:rFonts w:ascii="Calibri" w:hAnsi="Calibri" w:cs="Calibri"/>
          <w:b/>
        </w:rPr>
      </w:pPr>
      <w:r w:rsidRPr="008B039D">
        <w:rPr>
          <w:rFonts w:ascii="Calibri" w:hAnsi="Calibri" w:cs="Calibri"/>
        </w:rPr>
        <w:t xml:space="preserve">Zasady i tryb przeprowadzania budżetu obywatelskiego Województwa Mazowieckiego, oraz wymagania, jakie powinien spełniać </w:t>
      </w:r>
      <w:r w:rsidR="005F7205" w:rsidRPr="008B039D">
        <w:rPr>
          <w:rFonts w:ascii="Calibri" w:hAnsi="Calibri" w:cs="Calibri"/>
        </w:rPr>
        <w:t>p</w:t>
      </w:r>
      <w:r w:rsidRPr="008B039D">
        <w:rPr>
          <w:rFonts w:ascii="Calibri" w:hAnsi="Calibri" w:cs="Calibri"/>
        </w:rPr>
        <w:t>rojekt budżetu obywatelskiego określa uchwała nr 227/19 Sejmiku Województwa Mazowieckiego z dnia 17 grudnia 2019 r. w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sprawie budżetu obywatelskiego Województwa Mazowieckiego (Dz. Urz. Woj. Maz. z 2021 r. poz. 3882)</w:t>
      </w:r>
      <w:r w:rsidR="00926A6B" w:rsidRPr="008B039D">
        <w:rPr>
          <w:rFonts w:ascii="Calibri" w:hAnsi="Calibri" w:cs="Calibri"/>
        </w:rPr>
        <w:t>.</w:t>
      </w:r>
    </w:p>
    <w:p w14:paraId="4EBF6970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3.</w:t>
      </w:r>
    </w:p>
    <w:p w14:paraId="203CC5CE" w14:textId="77777777" w:rsidR="00FD2AE4" w:rsidRPr="008B039D" w:rsidRDefault="00FD2AE4" w:rsidP="005F7205">
      <w:pPr>
        <w:rPr>
          <w:rFonts w:ascii="Calibri" w:hAnsi="Calibri" w:cs="Calibri"/>
        </w:rPr>
      </w:pPr>
      <w:r w:rsidRPr="008B039D">
        <w:rPr>
          <w:rFonts w:ascii="Calibri" w:hAnsi="Calibri" w:cs="Calibri"/>
        </w:rPr>
        <w:t>Ilekroć w Regulaminie jest mowa o:</w:t>
      </w:r>
    </w:p>
    <w:p w14:paraId="567D3AB0" w14:textId="4767835E" w:rsidR="00FD2AE4" w:rsidRPr="008B039D" w:rsidRDefault="00FD2AE4" w:rsidP="00CE3562">
      <w:pPr>
        <w:pStyle w:val="Listanumerowana2"/>
        <w:numPr>
          <w:ilvl w:val="0"/>
          <w:numId w:val="16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BIP – należy przez to rozumieć stronę podmiotową Biuletynu Informacji Publicznej dostępną z poziomu strony internetowej Samorządu Województwa Mazowieckiego pod adresem bip.mazovia.pl;</w:t>
      </w:r>
    </w:p>
    <w:p w14:paraId="69279A2B" w14:textId="24380BBB" w:rsidR="005F7205" w:rsidRPr="008B039D" w:rsidRDefault="005F7205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BOM – należy przez to rozumieć budżet obywatelski Województwa Mazowieckiego;</w:t>
      </w:r>
    </w:p>
    <w:p w14:paraId="27A293AD" w14:textId="65127863" w:rsidR="005F7205" w:rsidRPr="008B039D" w:rsidRDefault="005F7205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projekcie – </w:t>
      </w:r>
      <w:r w:rsidR="00BD7579" w:rsidRPr="008B039D">
        <w:rPr>
          <w:rFonts w:ascii="Calibri" w:hAnsi="Calibri" w:cs="Calibri"/>
        </w:rPr>
        <w:t>należy przez to rozumieć zadanie zgłoszone przez mieszkańca do zrealizowania w ramach budżetu obywatelskiego Województwa Mazowieckiego;</w:t>
      </w:r>
    </w:p>
    <w:p w14:paraId="1D415D63" w14:textId="4AA5CBF1" w:rsidR="00FD2AE4" w:rsidRPr="008B039D" w:rsidRDefault="00FD2AE4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  <w:color w:val="00000A"/>
        </w:rPr>
        <w:t>punktach informacyjnych w siedzibie Urzędu i w delegaturach –</w:t>
      </w:r>
      <w:r w:rsidRPr="008B039D">
        <w:rPr>
          <w:rFonts w:ascii="Calibri" w:hAnsi="Calibri" w:cs="Calibri"/>
        </w:rPr>
        <w:t xml:space="preserve"> należy przez to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rozumieć następujące lokalizacje Urzędu Marszałkowskiego Województwa Mazowieckiego w Warszawie:</w:t>
      </w:r>
    </w:p>
    <w:p w14:paraId="6FA86492" w14:textId="77777777" w:rsidR="00FD2AE4" w:rsidRPr="008B039D" w:rsidRDefault="00FD2AE4" w:rsidP="00CE3562">
      <w:pPr>
        <w:pStyle w:val="Listanumerowana3"/>
        <w:numPr>
          <w:ilvl w:val="0"/>
          <w:numId w:val="17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lastRenderedPageBreak/>
        <w:t>03-715 Warszawa, ul. Okrzei 35,</w:t>
      </w:r>
    </w:p>
    <w:p w14:paraId="2A272B6D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06-400 Ciechanów, ul. Wodna 1,</w:t>
      </w:r>
    </w:p>
    <w:p w14:paraId="3BB9CE23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07-410 Ostrołęka, ul. Piłsudskiego 38,</w:t>
      </w:r>
    </w:p>
    <w:p w14:paraId="6225F0E0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05-500 Piaseczno, ul. Puławska 38,</w:t>
      </w:r>
    </w:p>
    <w:p w14:paraId="6496AB3F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09-402 Płock, ul. Kolegialna 19 ,</w:t>
      </w:r>
    </w:p>
    <w:p w14:paraId="033482FB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26-600 Radom, ul. Kościuszki 5a,</w:t>
      </w:r>
    </w:p>
    <w:p w14:paraId="10918AAA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08-110 Siedlce, ul. Wiszniewskiego 4,</w:t>
      </w:r>
    </w:p>
    <w:p w14:paraId="3A814712" w14:textId="77777777" w:rsidR="00FD2AE4" w:rsidRPr="008B039D" w:rsidRDefault="00FD2AE4" w:rsidP="004911C7">
      <w:pPr>
        <w:pStyle w:val="Listanumerowana3"/>
        <w:rPr>
          <w:rFonts w:ascii="Calibri" w:hAnsi="Calibri" w:cs="Calibri"/>
        </w:rPr>
      </w:pPr>
      <w:r w:rsidRPr="008B039D">
        <w:rPr>
          <w:rFonts w:ascii="Calibri" w:hAnsi="Calibri" w:cs="Calibri"/>
        </w:rPr>
        <w:t>05-200 Wołomin, ul. Miła 3,</w:t>
      </w:r>
    </w:p>
    <w:p w14:paraId="0C904792" w14:textId="77777777" w:rsidR="00FD2AE4" w:rsidRPr="008B039D" w:rsidRDefault="00FD2AE4" w:rsidP="004911C7">
      <w:pPr>
        <w:pStyle w:val="Listanumerowana3"/>
        <w:rPr>
          <w:rFonts w:ascii="Calibri" w:hAnsi="Calibri" w:cs="Calibri"/>
          <w:b/>
        </w:rPr>
      </w:pPr>
      <w:r w:rsidRPr="008B039D">
        <w:rPr>
          <w:rFonts w:ascii="Calibri" w:hAnsi="Calibri" w:cs="Calibri"/>
        </w:rPr>
        <w:t>96-300 Żyrardów, ul. 1 maja 17;</w:t>
      </w:r>
    </w:p>
    <w:p w14:paraId="3E2C3D8B" w14:textId="46836528" w:rsidR="005F7205" w:rsidRPr="008B039D" w:rsidRDefault="00FD2AE4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systemie informatycznym </w:t>
      </w:r>
      <w:r w:rsidRPr="008B039D">
        <w:rPr>
          <w:rFonts w:ascii="Calibri" w:hAnsi="Calibri" w:cs="Calibri"/>
          <w:color w:val="00000A"/>
        </w:rPr>
        <w:t xml:space="preserve">– należy przez to rozumieć system teleinformatyczny do obsługi BOM </w:t>
      </w:r>
      <w:r w:rsidRPr="008B039D">
        <w:rPr>
          <w:rFonts w:ascii="Calibri" w:hAnsi="Calibri" w:cs="Calibri"/>
        </w:rPr>
        <w:t>dostępny pod adresem</w:t>
      </w:r>
      <w:r w:rsidR="005F7205" w:rsidRPr="008B039D">
        <w:rPr>
          <w:rFonts w:ascii="Calibri" w:hAnsi="Calibri" w:cs="Calibri"/>
          <w:bCs/>
        </w:rPr>
        <w:t xml:space="preserve"> </w:t>
      </w:r>
      <w:hyperlink r:id="rId10" w:history="1">
        <w:r w:rsidR="005F7205" w:rsidRPr="008B039D">
          <w:rPr>
            <w:rStyle w:val="Hipercze"/>
            <w:rFonts w:ascii="Calibri" w:hAnsi="Calibri" w:cs="Calibri"/>
            <w:bCs/>
          </w:rPr>
          <w:t>https://bom.mazovia.pl/</w:t>
        </w:r>
      </w:hyperlink>
      <w:r w:rsidR="005F7205" w:rsidRPr="008B039D">
        <w:rPr>
          <w:rFonts w:ascii="Calibri" w:hAnsi="Calibri" w:cs="Calibri"/>
          <w:bCs/>
        </w:rPr>
        <w:t>;</w:t>
      </w:r>
    </w:p>
    <w:p w14:paraId="4E5C7042" w14:textId="50C376FD" w:rsidR="00926A6B" w:rsidRPr="008B039D" w:rsidRDefault="00926A6B" w:rsidP="004911C7">
      <w:pPr>
        <w:pStyle w:val="Listanumerowana2"/>
        <w:rPr>
          <w:rFonts w:ascii="Calibri" w:hAnsi="Calibri" w:cs="Calibri"/>
          <w:bCs/>
        </w:rPr>
      </w:pPr>
      <w:r w:rsidRPr="008B039D">
        <w:rPr>
          <w:rFonts w:ascii="Calibri" w:hAnsi="Calibri" w:cs="Calibri"/>
          <w:bCs/>
        </w:rPr>
        <w:t>uchwale Sejmiku – należy przez to rozumieć uchwałę nr 227/19 Sejmiku Województwa Mazowieckiego z dnia 17 grudnia 2019 r. w sprawie budżetu obywatelskiego Województwa Mazowieckiego (Dz. Urz. Woj. Maz. z 2021 r. poz.</w:t>
      </w:r>
      <w:r w:rsidR="00CE3562" w:rsidRPr="008B039D">
        <w:rPr>
          <w:rFonts w:ascii="Calibri" w:hAnsi="Calibri" w:cs="Calibri"/>
          <w:bCs/>
        </w:rPr>
        <w:t> </w:t>
      </w:r>
      <w:r w:rsidRPr="008B039D">
        <w:rPr>
          <w:rFonts w:ascii="Calibri" w:hAnsi="Calibri" w:cs="Calibri"/>
          <w:bCs/>
        </w:rPr>
        <w:t>3882);</w:t>
      </w:r>
    </w:p>
    <w:p w14:paraId="324F9DB6" w14:textId="0D07FAFF" w:rsidR="00FD2AE4" w:rsidRPr="008B039D" w:rsidRDefault="00FD2AE4" w:rsidP="004911C7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Urzędzie – należy przez to rozumieć Urząd Marszałkowski Województwa Mazowieckiego w Warszawie.</w:t>
      </w:r>
    </w:p>
    <w:p w14:paraId="3362291B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4.</w:t>
      </w:r>
    </w:p>
    <w:p w14:paraId="57CFD06A" w14:textId="34FF1257" w:rsidR="00FD2AE4" w:rsidRPr="008B039D" w:rsidRDefault="00FD2AE4" w:rsidP="005F7205">
      <w:pPr>
        <w:rPr>
          <w:rFonts w:ascii="Calibri" w:hAnsi="Calibri" w:cs="Calibri"/>
          <w:b/>
        </w:rPr>
      </w:pPr>
      <w:bookmarkStart w:id="0" w:name="_Hlk61859456"/>
      <w:r w:rsidRPr="008B039D">
        <w:rPr>
          <w:rFonts w:ascii="Calibri" w:hAnsi="Calibri" w:cs="Calibri"/>
        </w:rPr>
        <w:t>BOM – edycja 202</w:t>
      </w:r>
      <w:r w:rsidR="008F1C32" w:rsidRPr="008B039D">
        <w:rPr>
          <w:rFonts w:ascii="Calibri" w:hAnsi="Calibri" w:cs="Calibri"/>
        </w:rPr>
        <w:t>2</w:t>
      </w:r>
      <w:r w:rsidRPr="008B039D">
        <w:rPr>
          <w:rFonts w:ascii="Calibri" w:hAnsi="Calibri" w:cs="Calibri"/>
        </w:rPr>
        <w:t xml:space="preserve"> jest realizowany według następującego harmonogramu:</w:t>
      </w:r>
    </w:p>
    <w:bookmarkEnd w:id="0"/>
    <w:p w14:paraId="4418F98F" w14:textId="517598FA" w:rsidR="005F7205" w:rsidRPr="008B039D" w:rsidRDefault="005F7205" w:rsidP="00CE3562">
      <w:pPr>
        <w:pStyle w:val="Listanumerowana2"/>
        <w:numPr>
          <w:ilvl w:val="0"/>
          <w:numId w:val="18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od 1 do 31 stycznia 2022 r. – kampania informacyjno–promocyjna;</w:t>
      </w:r>
    </w:p>
    <w:p w14:paraId="0D2AB0BA" w14:textId="15860485" w:rsidR="005F7205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od 1 do 20 lutego 2022 r. – nabór projektów;</w:t>
      </w:r>
    </w:p>
    <w:p w14:paraId="39CA97E0" w14:textId="516827ED" w:rsidR="005F7205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od 21 lutego do 8 kwietnia 2022 r. – ocena projektów;</w:t>
      </w:r>
    </w:p>
    <w:p w14:paraId="2C315115" w14:textId="51BC7D3F" w:rsidR="005F7205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do 14 kwietnia 2022 r. – informacja o wynikach oceny projektów;</w:t>
      </w:r>
    </w:p>
    <w:p w14:paraId="7B004AE6" w14:textId="5A81ACDC" w:rsidR="005F7205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14 dni od dnia opublikowania informacji o wynikach oceny projektów –  odwołania od decyzji o niedopuszczeniu projektu do głosowania;</w:t>
      </w:r>
    </w:p>
    <w:p w14:paraId="55464334" w14:textId="574948B5" w:rsidR="005F7205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do 24 maja 2022 r. – uchwała Zarządu Województwa Mazowieckiego w sprawie rozpatrzenia odwołań od decyzji o niedopuszczeniu projektu do głosowania oraz ogłoszenie listy projektów poddawanych pod głosowanie;</w:t>
      </w:r>
    </w:p>
    <w:p w14:paraId="038D003B" w14:textId="31772138" w:rsidR="005F7205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od  30 maja do 19 czerwca 2022 r. – głosowanie;</w:t>
      </w:r>
    </w:p>
    <w:p w14:paraId="5C6224FF" w14:textId="23D07F20" w:rsidR="00FD2AE4" w:rsidRPr="008B039D" w:rsidRDefault="005F7205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do 30 czerwca 2022 r. – ogłoszenie wyników głosowania.</w:t>
      </w:r>
    </w:p>
    <w:p w14:paraId="3C322C1E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5.</w:t>
      </w:r>
    </w:p>
    <w:p w14:paraId="6BD360CC" w14:textId="4242368A" w:rsidR="00FD2AE4" w:rsidRPr="008B039D" w:rsidRDefault="00FD2AE4" w:rsidP="00CE3562">
      <w:pPr>
        <w:pStyle w:val="Listanumerowana"/>
        <w:numPr>
          <w:ilvl w:val="0"/>
          <w:numId w:val="10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Wysokość środków finansowych przeznaczonych na BOM – edycja 2022 wynosi 25 000 000 zł. </w:t>
      </w:r>
    </w:p>
    <w:p w14:paraId="27357383" w14:textId="4F07A62A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Na pulę ogólnowojewódzką, o której mowa w § 5 ust. 2 i 5 </w:t>
      </w:r>
      <w:r w:rsidR="00BD7579" w:rsidRPr="008B039D">
        <w:rPr>
          <w:rFonts w:ascii="Calibri" w:hAnsi="Calibri" w:cs="Calibri"/>
        </w:rPr>
        <w:t>u</w:t>
      </w:r>
      <w:r w:rsidRPr="008B039D">
        <w:rPr>
          <w:rFonts w:ascii="Calibri" w:hAnsi="Calibri" w:cs="Calibri"/>
        </w:rPr>
        <w:t>chwały Sejmiku, przeznacza się 5 000 000 zł.</w:t>
      </w:r>
    </w:p>
    <w:p w14:paraId="489D36BD" w14:textId="77777777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>Na pule podregionalne, o których mowa  w § 5 ust. 3, 4 i 6 Uchwały Sejmiku, przeznacza się odpowiednio:</w:t>
      </w:r>
    </w:p>
    <w:p w14:paraId="5249DBCF" w14:textId="77777777" w:rsidR="00FD2AE4" w:rsidRPr="008B039D" w:rsidRDefault="00FD2AE4" w:rsidP="00CE3562">
      <w:pPr>
        <w:pStyle w:val="Listanumerowana2"/>
        <w:numPr>
          <w:ilvl w:val="0"/>
          <w:numId w:val="19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ostrołęcki: 2 683 000 zł;</w:t>
      </w:r>
    </w:p>
    <w:p w14:paraId="7682644B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siedlecki: 2 668 000 zł;</w:t>
      </w:r>
    </w:p>
    <w:p w14:paraId="034E981F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lastRenderedPageBreak/>
        <w:t>podregion radomski: 2 605 000 zł;</w:t>
      </w:r>
    </w:p>
    <w:p w14:paraId="792E8EF0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żyrardowski: 2 275 000 zł;</w:t>
      </w:r>
    </w:p>
    <w:p w14:paraId="0A2E7771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płocki: 1 943 000 zł;</w:t>
      </w:r>
    </w:p>
    <w:p w14:paraId="33A8E3F9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ciechanowski: 2 665 000 zł;</w:t>
      </w:r>
    </w:p>
    <w:p w14:paraId="713E8A97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warszawski zachodni: 1 858 000 zł;</w:t>
      </w:r>
    </w:p>
    <w:p w14:paraId="0757B979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podregion warszawski wschodni: 2 295 000 zł;</w:t>
      </w:r>
    </w:p>
    <w:p w14:paraId="14BDB485" w14:textId="60B38016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 xml:space="preserve">Miasto </w:t>
      </w:r>
      <w:r w:rsidRPr="008B039D">
        <w:rPr>
          <w:rFonts w:ascii="Calibri" w:hAnsi="Calibri" w:cs="Calibri"/>
          <w:color w:val="00000A"/>
        </w:rPr>
        <w:t>Stołeczne Warszawa: 1 008 000 zł.</w:t>
      </w:r>
    </w:p>
    <w:p w14:paraId="4CC312D4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6.</w:t>
      </w:r>
    </w:p>
    <w:p w14:paraId="72B637EA" w14:textId="0EF6AEF3" w:rsidR="00FD2AE4" w:rsidRPr="008B039D" w:rsidRDefault="00FD2AE4" w:rsidP="00CE3562">
      <w:pPr>
        <w:pStyle w:val="Listanumerowana"/>
        <w:numPr>
          <w:ilvl w:val="0"/>
          <w:numId w:val="11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Projekty składa się na formularzu, którego wzór stanowi załącznik nr 1 do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Regulaminu.</w:t>
      </w:r>
    </w:p>
    <w:p w14:paraId="538BF13C" w14:textId="28A26BB2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>Do formularza, o którym mowa w ust. 1, należy dołączyć listę poparcia dla projektu. Wzór listy poparcia stanowi załącznik nr 2 do Regulaminu.</w:t>
      </w:r>
    </w:p>
    <w:p w14:paraId="6B15F880" w14:textId="7A0A4B76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>Wzór formularza i instrukcja jego wypełnienia oraz wzór listy poparcia dla projektu są publikowane w systemie informatycznym, w BIP oraz są dostępne w punktach informacyjnych w siedzibie Urzędu i w delegaturach.</w:t>
      </w:r>
    </w:p>
    <w:p w14:paraId="44EB498D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7.</w:t>
      </w:r>
    </w:p>
    <w:p w14:paraId="48848BEB" w14:textId="09FB5B96" w:rsidR="00FD2AE4" w:rsidRPr="008B039D" w:rsidRDefault="00FD2AE4" w:rsidP="005F7205">
      <w:pPr>
        <w:rPr>
          <w:rFonts w:ascii="Calibri" w:hAnsi="Calibri" w:cs="Calibri"/>
        </w:rPr>
      </w:pPr>
      <w:r w:rsidRPr="008B039D">
        <w:rPr>
          <w:rFonts w:ascii="Calibri" w:hAnsi="Calibri" w:cs="Calibri"/>
        </w:rPr>
        <w:t>Ocena formalna projektów jest prowadzona przez Departament Organizacji Urzędu.</w:t>
      </w:r>
    </w:p>
    <w:p w14:paraId="1FF88EB7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8.</w:t>
      </w:r>
    </w:p>
    <w:p w14:paraId="1D87BBE1" w14:textId="4A18098A" w:rsidR="00FD2AE4" w:rsidRPr="008B039D" w:rsidRDefault="00FD2AE4" w:rsidP="00CE3562">
      <w:pPr>
        <w:pStyle w:val="Listanumerowana"/>
        <w:numPr>
          <w:ilvl w:val="0"/>
          <w:numId w:val="12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Nadzór nad przebiegiem oceny formalnej, oceny co do zgodności z prawem oraz oceny w zakresie wykonalności technicznej projektów sprawuje Zespół ds. Budżetu Obywatelskiego Mazowsza.</w:t>
      </w:r>
    </w:p>
    <w:p w14:paraId="7B3F5F75" w14:textId="77777777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>Do zadań Zespołu, o którym mowa w ust. 1, należy w szczególności:</w:t>
      </w:r>
    </w:p>
    <w:p w14:paraId="493DF899" w14:textId="77777777" w:rsidR="00FD2AE4" w:rsidRPr="008B039D" w:rsidRDefault="00FD2AE4" w:rsidP="00CE3562">
      <w:pPr>
        <w:pStyle w:val="Listanumerowana2"/>
        <w:numPr>
          <w:ilvl w:val="0"/>
          <w:numId w:val="20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przyjęcie i weryfikacja wyników oceny formalnej projektów przeprowadzonej przez pracowników Departamentu Organizacji Urzędu oraz akceptacja wykazu projektów, które pozytywnie przeszły ocenę formalną;</w:t>
      </w:r>
    </w:p>
    <w:p w14:paraId="6976F167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w odniesieniu do projektów, które pozytywnie przeszły ocenę formalną, wskazanie departamentów i kancelarii Urzędu zobowiązanych do przeprowadzenia oceny co do zgodności z prawem oraz oceny w zakresie wykonalności technicznej projektów;</w:t>
      </w:r>
    </w:p>
    <w:p w14:paraId="1317E4DF" w14:textId="77777777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przyjęcie i weryfikacja wyników ocen, o których mowa w pkt 2;</w:t>
      </w:r>
    </w:p>
    <w:p w14:paraId="119B2960" w14:textId="206039FF" w:rsidR="00FD2AE4" w:rsidRPr="008B039D" w:rsidRDefault="00FD2AE4" w:rsidP="00CE3562">
      <w:pPr>
        <w:pStyle w:val="Listanumerowana2"/>
        <w:rPr>
          <w:rFonts w:ascii="Calibri" w:hAnsi="Calibri" w:cs="Calibri"/>
        </w:rPr>
      </w:pPr>
      <w:r w:rsidRPr="008B039D">
        <w:rPr>
          <w:rFonts w:ascii="Calibri" w:hAnsi="Calibri" w:cs="Calibri"/>
        </w:rPr>
        <w:t>przygotowanie dla Zarządu Województwa Mazowieckiego wykazu projektów po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ich ocenach, z podziałem na projekty ocenione pozytywnie i rekomendowane do dopuszczenia do głosowania oraz projekty ocenione negatywnie i nie rekomendowane do dopuszczenia do głosowania.</w:t>
      </w:r>
    </w:p>
    <w:p w14:paraId="73C2D588" w14:textId="3DFE4C0D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>Zespół, o którym mowa w ust. 1, powołuje Marszałek Województwa Mazowieckiego w drodze zarządzenia określającego w szczególności skład i tryb pracy tego Zespołu.</w:t>
      </w:r>
    </w:p>
    <w:p w14:paraId="5FB86663" w14:textId="403CD1BC" w:rsidR="002A398B" w:rsidRPr="008B039D" w:rsidRDefault="002A398B" w:rsidP="002A398B">
      <w:pPr>
        <w:pStyle w:val="Listanumerowana"/>
        <w:numPr>
          <w:ilvl w:val="0"/>
          <w:numId w:val="0"/>
        </w:numPr>
        <w:ind w:left="360" w:hanging="360"/>
        <w:rPr>
          <w:rFonts w:ascii="Calibri" w:hAnsi="Calibri" w:cs="Calibri"/>
        </w:rPr>
      </w:pPr>
    </w:p>
    <w:p w14:paraId="7846F71B" w14:textId="77777777" w:rsidR="002A398B" w:rsidRPr="008B039D" w:rsidRDefault="002A398B" w:rsidP="002A398B">
      <w:pPr>
        <w:pStyle w:val="Listanumerowana"/>
        <w:numPr>
          <w:ilvl w:val="0"/>
          <w:numId w:val="0"/>
        </w:numPr>
        <w:ind w:left="360" w:hanging="360"/>
        <w:rPr>
          <w:rFonts w:ascii="Calibri" w:hAnsi="Calibri" w:cs="Calibri"/>
        </w:rPr>
      </w:pPr>
    </w:p>
    <w:p w14:paraId="1486BEDD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9.</w:t>
      </w:r>
    </w:p>
    <w:p w14:paraId="3C33424A" w14:textId="77777777" w:rsidR="00596A48" w:rsidRPr="008B039D" w:rsidRDefault="00596A48" w:rsidP="00CE3562">
      <w:pPr>
        <w:pStyle w:val="Listanumerowana"/>
        <w:numPr>
          <w:ilvl w:val="0"/>
          <w:numId w:val="14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Wzór karty do głosowania na projekty stanowi załącznik nr 3 do Regulaminu.</w:t>
      </w:r>
    </w:p>
    <w:p w14:paraId="04CBA867" w14:textId="62D785D8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lastRenderedPageBreak/>
        <w:t>Oddanie głosu jest możliwe po rejestracji w systemie informatycznym, z podaniem przez głosującego imienia, nazwiska, miejsca zamieszkania (wyłącznie nazwy miejscowości i nazwy powiatu) oraz numeru telefonu komórkowego. Numer telefonu służy do identyfikacji głosującego oraz weryfikacji popraw</w:t>
      </w:r>
      <w:bookmarkStart w:id="1" w:name="_GoBack"/>
      <w:bookmarkEnd w:id="1"/>
      <w:r w:rsidRPr="008B039D">
        <w:rPr>
          <w:rFonts w:ascii="Calibri" w:hAnsi="Calibri" w:cs="Calibri"/>
        </w:rPr>
        <w:t xml:space="preserve">ności oddania głosu. Maksymalna liczba rejestracji głosujących z podaniem tego samego numeru telefonu komórkowego wynosi 3. </w:t>
      </w:r>
      <w:bookmarkStart w:id="2" w:name="__DdeLink__1054_1575633629"/>
    </w:p>
    <w:p w14:paraId="140833D0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</w:t>
      </w:r>
      <w:bookmarkEnd w:id="2"/>
      <w:r w:rsidRPr="008B039D">
        <w:rPr>
          <w:rFonts w:ascii="Calibri" w:hAnsi="Calibri" w:cs="Calibri"/>
        </w:rPr>
        <w:t xml:space="preserve"> 10.</w:t>
      </w:r>
    </w:p>
    <w:p w14:paraId="19B8757A" w14:textId="6691B0FF" w:rsidR="00FD2AE4" w:rsidRPr="008B039D" w:rsidRDefault="00FD2AE4" w:rsidP="00CE3562">
      <w:pPr>
        <w:pStyle w:val="Listanumerowana"/>
        <w:numPr>
          <w:ilvl w:val="0"/>
          <w:numId w:val="13"/>
        </w:numPr>
        <w:rPr>
          <w:rFonts w:ascii="Calibri" w:hAnsi="Calibri" w:cs="Calibri"/>
        </w:rPr>
      </w:pPr>
      <w:r w:rsidRPr="008B039D">
        <w:rPr>
          <w:rFonts w:ascii="Calibri" w:hAnsi="Calibri" w:cs="Calibri"/>
        </w:rPr>
        <w:t>Projekty wybrane w wyniku głosowania mieszkańców w BOM – edycja 2022 są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realizowane przez właściwe departamenty Urzędu lub wojewódzkie samorządowe jednostki organizacyjne.</w:t>
      </w:r>
    </w:p>
    <w:p w14:paraId="3B114234" w14:textId="44C747E5" w:rsidR="00FD2AE4" w:rsidRPr="008B039D" w:rsidRDefault="00FD2AE4" w:rsidP="00CE3562">
      <w:pPr>
        <w:pStyle w:val="Listanumerowana"/>
        <w:rPr>
          <w:rFonts w:ascii="Calibri" w:hAnsi="Calibri" w:cs="Calibri"/>
        </w:rPr>
      </w:pPr>
      <w:r w:rsidRPr="008B039D">
        <w:rPr>
          <w:rFonts w:ascii="Calibri" w:hAnsi="Calibri" w:cs="Calibri"/>
        </w:rPr>
        <w:t>Informacje o rozpoczęciu i zakończeniu realizacji projektów, o których mowa w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ust.</w:t>
      </w:r>
      <w:r w:rsidR="00CE3562" w:rsidRPr="008B039D">
        <w:rPr>
          <w:rFonts w:ascii="Calibri" w:hAnsi="Calibri" w:cs="Calibri"/>
        </w:rPr>
        <w:t> </w:t>
      </w:r>
      <w:r w:rsidRPr="008B039D">
        <w:rPr>
          <w:rFonts w:ascii="Calibri" w:hAnsi="Calibri" w:cs="Calibri"/>
        </w:rPr>
        <w:t>1, są publikowane w systemie informatycznym</w:t>
      </w:r>
      <w:r w:rsidR="00926A6B" w:rsidRPr="008B039D">
        <w:rPr>
          <w:rFonts w:ascii="Calibri" w:hAnsi="Calibri" w:cs="Calibri"/>
        </w:rPr>
        <w:t xml:space="preserve"> </w:t>
      </w:r>
      <w:r w:rsidRPr="008B039D">
        <w:rPr>
          <w:rFonts w:ascii="Calibri" w:hAnsi="Calibri" w:cs="Calibri"/>
        </w:rPr>
        <w:t xml:space="preserve">oraz są dostępne </w:t>
      </w:r>
      <w:r w:rsidR="00926A6B" w:rsidRPr="008B039D">
        <w:rPr>
          <w:rFonts w:ascii="Calibri" w:hAnsi="Calibri" w:cs="Calibri"/>
        </w:rPr>
        <w:br/>
      </w:r>
      <w:r w:rsidRPr="008B039D">
        <w:rPr>
          <w:rFonts w:ascii="Calibri" w:hAnsi="Calibri" w:cs="Calibri"/>
        </w:rPr>
        <w:t>w punktach informacyjnych w siedzibie Urzędu i w delegaturach.</w:t>
      </w:r>
    </w:p>
    <w:p w14:paraId="20259391" w14:textId="77777777" w:rsidR="00FD2AE4" w:rsidRPr="008B039D" w:rsidRDefault="00FD2AE4" w:rsidP="00FD2AE4">
      <w:pPr>
        <w:pStyle w:val="Nagwek1"/>
        <w:rPr>
          <w:rFonts w:ascii="Calibri" w:hAnsi="Calibri" w:cs="Calibri"/>
        </w:rPr>
      </w:pPr>
      <w:r w:rsidRPr="008B039D">
        <w:rPr>
          <w:rFonts w:ascii="Calibri" w:hAnsi="Calibri" w:cs="Calibri"/>
        </w:rPr>
        <w:t>§ 11.</w:t>
      </w:r>
    </w:p>
    <w:p w14:paraId="6BC7064F" w14:textId="25BFE4A5" w:rsidR="00926A6B" w:rsidRPr="008B039D" w:rsidRDefault="00FD2AE4" w:rsidP="00CE3562">
      <w:pPr>
        <w:rPr>
          <w:rFonts w:ascii="Calibri" w:hAnsi="Calibri" w:cs="Calibri"/>
        </w:rPr>
      </w:pPr>
      <w:r w:rsidRPr="008B039D">
        <w:rPr>
          <w:rFonts w:ascii="Calibri" w:hAnsi="Calibri" w:cs="Calibri"/>
        </w:rPr>
        <w:t>Proces BOM – edycja 2022 jest koordynowany i monitorowany przez Departament Organizacji Urzędu.</w:t>
      </w:r>
    </w:p>
    <w:sectPr w:rsidR="00926A6B" w:rsidRPr="008B039D" w:rsidSect="001D3676">
      <w:headerReference w:type="default" r:id="rId11"/>
      <w:footerReference w:type="default" r:id="rId12"/>
      <w:pgSz w:w="11906" w:h="16838"/>
      <w:pgMar w:top="1418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0FCF6" w14:textId="77777777" w:rsidR="00FC100C" w:rsidRDefault="00FC100C" w:rsidP="001D3676">
      <w:pPr>
        <w:spacing w:after="0" w:line="240" w:lineRule="auto"/>
      </w:pPr>
      <w:r>
        <w:separator/>
      </w:r>
    </w:p>
  </w:endnote>
  <w:endnote w:type="continuationSeparator" w:id="0">
    <w:p w14:paraId="242C9E78" w14:textId="77777777" w:rsidR="00FC100C" w:rsidRDefault="00FC100C" w:rsidP="001D3676">
      <w:pPr>
        <w:spacing w:after="0" w:line="240" w:lineRule="auto"/>
      </w:pPr>
      <w:r>
        <w:continuationSeparator/>
      </w:r>
    </w:p>
  </w:endnote>
  <w:endnote w:type="continuationNotice" w:id="1">
    <w:p w14:paraId="4229E82B" w14:textId="77777777" w:rsidR="00FC100C" w:rsidRDefault="00FC1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496423"/>
      <w:docPartObj>
        <w:docPartGallery w:val="Page Numbers (Bottom of Page)"/>
        <w:docPartUnique/>
      </w:docPartObj>
    </w:sdtPr>
    <w:sdtEndPr/>
    <w:sdtContent>
      <w:p w14:paraId="71AB8798" w14:textId="0F63E3E9" w:rsidR="00A50AD8" w:rsidRDefault="00A50A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39D">
          <w:rPr>
            <w:noProof/>
          </w:rPr>
          <w:t>4</w:t>
        </w:r>
        <w:r>
          <w:fldChar w:fldCharType="end"/>
        </w:r>
      </w:p>
    </w:sdtContent>
  </w:sdt>
  <w:p w14:paraId="326716ED" w14:textId="77777777" w:rsidR="2FB068FD" w:rsidRDefault="2FB068FD" w:rsidP="2FB068FD">
    <w:pPr>
      <w:pStyle w:val="Stopka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7A1A8" w14:textId="77777777" w:rsidR="00FC100C" w:rsidRDefault="00FC100C" w:rsidP="001D3676">
      <w:pPr>
        <w:spacing w:after="0" w:line="240" w:lineRule="auto"/>
      </w:pPr>
      <w:r>
        <w:separator/>
      </w:r>
    </w:p>
  </w:footnote>
  <w:footnote w:type="continuationSeparator" w:id="0">
    <w:p w14:paraId="45CAD19D" w14:textId="77777777" w:rsidR="00FC100C" w:rsidRDefault="00FC100C" w:rsidP="001D3676">
      <w:pPr>
        <w:spacing w:after="0" w:line="240" w:lineRule="auto"/>
      </w:pPr>
      <w:r>
        <w:continuationSeparator/>
      </w:r>
    </w:p>
  </w:footnote>
  <w:footnote w:type="continuationNotice" w:id="1">
    <w:p w14:paraId="56BD0A33" w14:textId="77777777" w:rsidR="00FC100C" w:rsidRDefault="00FC1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FB068FD" w14:paraId="474AC63C" w14:textId="77777777" w:rsidTr="2FB068FD">
      <w:tc>
        <w:tcPr>
          <w:tcW w:w="2830" w:type="dxa"/>
        </w:tcPr>
        <w:p w14:paraId="2AC6F7B2" w14:textId="77777777" w:rsidR="2FB068FD" w:rsidRDefault="2FB068FD" w:rsidP="2FB068FD">
          <w:pPr>
            <w:pStyle w:val="Nagwek"/>
            <w:ind w:left="-115"/>
            <w:rPr>
              <w:szCs w:val="24"/>
            </w:rPr>
          </w:pPr>
        </w:p>
      </w:tc>
      <w:tc>
        <w:tcPr>
          <w:tcW w:w="2830" w:type="dxa"/>
        </w:tcPr>
        <w:p w14:paraId="2E191F30" w14:textId="77777777" w:rsidR="2FB068FD" w:rsidRDefault="2FB068FD" w:rsidP="2FB068FD">
          <w:pPr>
            <w:pStyle w:val="Nagwek"/>
            <w:jc w:val="center"/>
            <w:rPr>
              <w:szCs w:val="24"/>
            </w:rPr>
          </w:pPr>
        </w:p>
      </w:tc>
      <w:tc>
        <w:tcPr>
          <w:tcW w:w="2830" w:type="dxa"/>
        </w:tcPr>
        <w:p w14:paraId="14CE3EC5" w14:textId="77777777" w:rsidR="2FB068FD" w:rsidRDefault="2FB068FD" w:rsidP="2FB068FD">
          <w:pPr>
            <w:pStyle w:val="Nagwek"/>
            <w:ind w:right="-115"/>
            <w:jc w:val="right"/>
            <w:rPr>
              <w:szCs w:val="24"/>
            </w:rPr>
          </w:pPr>
        </w:p>
      </w:tc>
    </w:tr>
  </w:tbl>
  <w:p w14:paraId="1AA3CE41" w14:textId="77777777" w:rsidR="2FB068FD" w:rsidRDefault="2FB068FD" w:rsidP="2FB068FD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FE485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9EC31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1602EA"/>
    <w:lvl w:ilvl="0">
      <w:start w:val="1"/>
      <w:numFmt w:val="lowerLetter"/>
      <w:pStyle w:val="Listanumerowana3"/>
      <w:lvlText w:val="%1)"/>
      <w:lvlJc w:val="left"/>
      <w:pPr>
        <w:ind w:left="1001" w:hanging="360"/>
      </w:pPr>
      <w:rPr>
        <w:b w:val="0"/>
        <w:bCs/>
      </w:rPr>
    </w:lvl>
  </w:abstractNum>
  <w:abstractNum w:abstractNumId="3" w15:restartNumberingAfterBreak="0">
    <w:nsid w:val="FFFFFF80"/>
    <w:multiLevelType w:val="singleLevel"/>
    <w:tmpl w:val="DD9EA06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3C6B1A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9E64E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4D424C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EF04FEB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FFFFFF89"/>
    <w:multiLevelType w:val="singleLevel"/>
    <w:tmpl w:val="80D6E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AE0168"/>
    <w:multiLevelType w:val="hybridMultilevel"/>
    <w:tmpl w:val="534AD3EE"/>
    <w:lvl w:ilvl="0" w:tplc="9BDCD8C2">
      <w:start w:val="1"/>
      <w:numFmt w:val="decimal"/>
      <w:pStyle w:val="Listanumerowana2"/>
      <w:lvlText w:val="%1)"/>
      <w:lvlJc w:val="left"/>
      <w:pPr>
        <w:ind w:left="643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9"/>
    <w:lvlOverride w:ilvl="0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E4"/>
    <w:rsid w:val="000900CB"/>
    <w:rsid w:val="000C54F9"/>
    <w:rsid w:val="000F12F1"/>
    <w:rsid w:val="00107FF0"/>
    <w:rsid w:val="0014497B"/>
    <w:rsid w:val="001D3676"/>
    <w:rsid w:val="0025153B"/>
    <w:rsid w:val="00276CCB"/>
    <w:rsid w:val="002A00C6"/>
    <w:rsid w:val="002A362F"/>
    <w:rsid w:val="002A398B"/>
    <w:rsid w:val="002B2BD7"/>
    <w:rsid w:val="00312B1C"/>
    <w:rsid w:val="003E5D02"/>
    <w:rsid w:val="00410F5C"/>
    <w:rsid w:val="00415DFF"/>
    <w:rsid w:val="004473AB"/>
    <w:rsid w:val="004631C3"/>
    <w:rsid w:val="004911C7"/>
    <w:rsid w:val="004B5152"/>
    <w:rsid w:val="00544835"/>
    <w:rsid w:val="00561AD0"/>
    <w:rsid w:val="00596A48"/>
    <w:rsid w:val="005E177D"/>
    <w:rsid w:val="005F5B3A"/>
    <w:rsid w:val="005F7205"/>
    <w:rsid w:val="006379A0"/>
    <w:rsid w:val="00655486"/>
    <w:rsid w:val="007D6FB2"/>
    <w:rsid w:val="007F0D4F"/>
    <w:rsid w:val="007F1F48"/>
    <w:rsid w:val="00840B75"/>
    <w:rsid w:val="00851910"/>
    <w:rsid w:val="008B039D"/>
    <w:rsid w:val="008D4670"/>
    <w:rsid w:val="008F1C32"/>
    <w:rsid w:val="00926A6B"/>
    <w:rsid w:val="0093174C"/>
    <w:rsid w:val="00945D8C"/>
    <w:rsid w:val="009A07F3"/>
    <w:rsid w:val="009A4CA0"/>
    <w:rsid w:val="009C5C4A"/>
    <w:rsid w:val="009D77C7"/>
    <w:rsid w:val="009F754A"/>
    <w:rsid w:val="00A02CB9"/>
    <w:rsid w:val="00A34379"/>
    <w:rsid w:val="00A50AD8"/>
    <w:rsid w:val="00AA5F99"/>
    <w:rsid w:val="00AE4CCA"/>
    <w:rsid w:val="00B86AF8"/>
    <w:rsid w:val="00BC3F34"/>
    <w:rsid w:val="00BD7579"/>
    <w:rsid w:val="00C019C9"/>
    <w:rsid w:val="00C60385"/>
    <w:rsid w:val="00CD61D9"/>
    <w:rsid w:val="00CE3562"/>
    <w:rsid w:val="00D37C30"/>
    <w:rsid w:val="00D75C92"/>
    <w:rsid w:val="00EA52D6"/>
    <w:rsid w:val="00EC1A11"/>
    <w:rsid w:val="00F66393"/>
    <w:rsid w:val="00F974BB"/>
    <w:rsid w:val="00FC100C"/>
    <w:rsid w:val="00FC1657"/>
    <w:rsid w:val="00FD2AE4"/>
    <w:rsid w:val="00FF43A4"/>
    <w:rsid w:val="09E25E91"/>
    <w:rsid w:val="2FB0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20F66"/>
  <w15:chartTrackingRefBased/>
  <w15:docId w15:val="{4C92F27F-BBAD-4E43-BE32-79269581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98B"/>
    <w:pPr>
      <w:spacing w:after="200" w:line="29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E3562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aps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5F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50000" w:themeColor="accent1" w:themeShade="BF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5F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A07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B5000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5F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5000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5F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800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qFormat/>
    <w:rsid w:val="001D3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3676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2A398B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2A398B"/>
    <w:rPr>
      <w:sz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A398B"/>
    <w:pPr>
      <w:pBdr>
        <w:bottom w:val="single" w:sz="4" w:space="7" w:color="F20000" w:themeColor="accent1"/>
      </w:pBdr>
      <w:spacing w:after="120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98B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CE3562"/>
    <w:rPr>
      <w:rFonts w:ascii="Arial" w:eastAsiaTheme="majorEastAsia" w:hAnsi="Arial" w:cstheme="majorBidi"/>
      <w:b/>
      <w:caps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5F99"/>
    <w:rPr>
      <w:rFonts w:asciiTheme="majorHAnsi" w:eastAsiaTheme="majorEastAsia" w:hAnsiTheme="majorHAnsi" w:cstheme="majorBidi"/>
      <w:color w:val="B50000" w:themeColor="accent1" w:themeShade="BF"/>
      <w:sz w:val="3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6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A07F3"/>
    <w:rPr>
      <w:rFonts w:asciiTheme="majorHAnsi" w:eastAsiaTheme="majorEastAsia" w:hAnsiTheme="majorHAnsi" w:cstheme="majorBidi"/>
      <w:iCs/>
      <w:color w:val="B50000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AA5F99"/>
    <w:rPr>
      <w:rFonts w:asciiTheme="majorHAnsi" w:eastAsiaTheme="majorEastAsia" w:hAnsiTheme="majorHAnsi" w:cstheme="majorBidi"/>
      <w:color w:val="B50000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AA5F99"/>
    <w:rPr>
      <w:rFonts w:asciiTheme="majorHAnsi" w:eastAsiaTheme="majorEastAsia" w:hAnsiTheme="majorHAnsi" w:cstheme="majorBidi"/>
      <w:color w:val="780000" w:themeColor="accent1" w:themeShade="7F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5F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A5F99"/>
    <w:rPr>
      <w:rFonts w:eastAsiaTheme="minorEastAsia"/>
      <w:color w:val="5A5A5A" w:themeColor="text1" w:themeTint="A5"/>
      <w:spacing w:val="20"/>
    </w:rPr>
  </w:style>
  <w:style w:type="character" w:styleId="Pogrubienie">
    <w:name w:val="Strong"/>
    <w:basedOn w:val="Domylnaczcionkaakapitu"/>
    <w:uiPriority w:val="22"/>
    <w:qFormat/>
    <w:rsid w:val="00AA5F99"/>
    <w:rPr>
      <w:b/>
      <w:bCs/>
      <w:color w:val="262626" w:themeColor="text1" w:themeTint="D9"/>
    </w:rPr>
  </w:style>
  <w:style w:type="character" w:styleId="Wyrnieniedelikatne">
    <w:name w:val="Subtle Emphasis"/>
    <w:basedOn w:val="Domylnaczcionkaakapitu"/>
    <w:uiPriority w:val="19"/>
    <w:qFormat/>
    <w:rsid w:val="00A02CB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02CB9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B86AF8"/>
    <w:pPr>
      <w:spacing w:before="200" w:after="160" w:line="283" w:lineRule="auto"/>
      <w:ind w:left="284"/>
    </w:pPr>
    <w:rPr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6AF8"/>
    <w:rPr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B86AF8"/>
    <w:pPr>
      <w:pBdr>
        <w:top w:val="single" w:sz="4" w:space="10" w:color="F20000" w:themeColor="accent1"/>
        <w:bottom w:val="single" w:sz="4" w:space="10" w:color="F20000" w:themeColor="accent1"/>
      </w:pBdr>
      <w:spacing w:before="360" w:after="360" w:line="283" w:lineRule="auto"/>
    </w:pPr>
    <w:rPr>
      <w:iCs/>
      <w:color w:val="F200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6AF8"/>
    <w:rPr>
      <w:iCs/>
      <w:color w:val="F20000" w:themeColor="accent1"/>
    </w:rPr>
  </w:style>
  <w:style w:type="paragraph" w:styleId="Listapunktowana">
    <w:name w:val="List Bullet"/>
    <w:basedOn w:val="Normalny"/>
    <w:uiPriority w:val="99"/>
    <w:unhideWhenUsed/>
    <w:rsid w:val="00F974BB"/>
    <w:pPr>
      <w:numPr>
        <w:numId w:val="5"/>
      </w:numPr>
      <w:contextualSpacing/>
    </w:pPr>
  </w:style>
  <w:style w:type="paragraph" w:customStyle="1" w:styleId="Cytatintensywny2">
    <w:name w:val="Cytat intensywny 2"/>
    <w:basedOn w:val="Listapunktowana"/>
    <w:qFormat/>
    <w:rsid w:val="00410F5C"/>
    <w:pPr>
      <w:numPr>
        <w:numId w:val="0"/>
      </w:numPr>
      <w:pBdr>
        <w:left w:val="dashSmallGap" w:sz="6" w:space="12" w:color="C00000"/>
      </w:pBdr>
      <w:ind w:left="227"/>
    </w:pPr>
  </w:style>
  <w:style w:type="paragraph" w:styleId="Listanumerowana">
    <w:name w:val="List Number"/>
    <w:basedOn w:val="Normalny"/>
    <w:uiPriority w:val="99"/>
    <w:unhideWhenUsed/>
    <w:rsid w:val="00410F5C"/>
    <w:pPr>
      <w:numPr>
        <w:numId w:val="1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4911C7"/>
    <w:pPr>
      <w:numPr>
        <w:numId w:val="1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4911C7"/>
    <w:pPr>
      <w:numPr>
        <w:numId w:val="2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9C5C4A"/>
    <w:pPr>
      <w:numPr>
        <w:numId w:val="3"/>
      </w:numPr>
      <w:ind w:left="1281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C5C4A"/>
    <w:pPr>
      <w:numPr>
        <w:numId w:val="4"/>
      </w:numPr>
      <w:ind w:left="1565" w:hanging="357"/>
      <w:contextualSpacing/>
    </w:pPr>
  </w:style>
  <w:style w:type="paragraph" w:styleId="Listapunktowana2">
    <w:name w:val="List Bullet 2"/>
    <w:basedOn w:val="Normalny"/>
    <w:uiPriority w:val="99"/>
    <w:unhideWhenUsed/>
    <w:rsid w:val="009C5C4A"/>
    <w:pPr>
      <w:numPr>
        <w:numId w:val="6"/>
      </w:numPr>
      <w:ind w:left="714" w:hanging="357"/>
      <w:contextualSpacing/>
    </w:pPr>
  </w:style>
  <w:style w:type="paragraph" w:styleId="Listapunktowana3">
    <w:name w:val="List Bullet 3"/>
    <w:basedOn w:val="Normalny"/>
    <w:uiPriority w:val="99"/>
    <w:unhideWhenUsed/>
    <w:rsid w:val="009C5C4A"/>
    <w:pPr>
      <w:numPr>
        <w:numId w:val="7"/>
      </w:numPr>
      <w:ind w:left="998" w:hanging="357"/>
      <w:contextualSpacing/>
    </w:pPr>
  </w:style>
  <w:style w:type="paragraph" w:styleId="Listapunktowana4">
    <w:name w:val="List Bullet 4"/>
    <w:basedOn w:val="Normalny"/>
    <w:uiPriority w:val="99"/>
    <w:unhideWhenUsed/>
    <w:rsid w:val="00EA52D6"/>
    <w:pPr>
      <w:numPr>
        <w:numId w:val="8"/>
      </w:numPr>
      <w:ind w:left="1281" w:hanging="357"/>
      <w:contextualSpacing/>
    </w:pPr>
  </w:style>
  <w:style w:type="paragraph" w:styleId="Listapunktowana5">
    <w:name w:val="List Bullet 5"/>
    <w:basedOn w:val="Normalny"/>
    <w:uiPriority w:val="99"/>
    <w:unhideWhenUsed/>
    <w:rsid w:val="00EA52D6"/>
    <w:pPr>
      <w:numPr>
        <w:numId w:val="9"/>
      </w:numPr>
      <w:ind w:left="1565" w:hanging="357"/>
      <w:contextualSpacing/>
    </w:pPr>
  </w:style>
  <w:style w:type="paragraph" w:styleId="Lista-kontynuacja">
    <w:name w:val="List Continue"/>
    <w:basedOn w:val="Normalny"/>
    <w:uiPriority w:val="99"/>
    <w:unhideWhenUsed/>
    <w:rsid w:val="00544835"/>
    <w:pPr>
      <w:spacing w:after="120"/>
      <w:ind w:left="357"/>
      <w:contextualSpacing/>
    </w:pPr>
  </w:style>
  <w:style w:type="paragraph" w:styleId="Lista-kontynuacja2">
    <w:name w:val="List Continue 2"/>
    <w:basedOn w:val="Normalny"/>
    <w:uiPriority w:val="99"/>
    <w:unhideWhenUsed/>
    <w:rsid w:val="00544835"/>
    <w:pPr>
      <w:spacing w:after="120"/>
      <w:ind w:left="641"/>
      <w:contextualSpacing/>
    </w:pPr>
  </w:style>
  <w:style w:type="paragraph" w:styleId="Lista-kontynuacja3">
    <w:name w:val="List Continue 3"/>
    <w:basedOn w:val="Normalny"/>
    <w:uiPriority w:val="99"/>
    <w:unhideWhenUsed/>
    <w:rsid w:val="00840B75"/>
    <w:pPr>
      <w:spacing w:after="120"/>
      <w:ind w:left="924"/>
      <w:contextualSpacing/>
    </w:pPr>
  </w:style>
  <w:style w:type="paragraph" w:styleId="Lista-kontynuacja4">
    <w:name w:val="List Continue 4"/>
    <w:basedOn w:val="Normalny"/>
    <w:uiPriority w:val="99"/>
    <w:unhideWhenUsed/>
    <w:rsid w:val="00840B75"/>
    <w:pPr>
      <w:spacing w:after="120"/>
      <w:ind w:left="1208"/>
      <w:contextualSpacing/>
    </w:pPr>
  </w:style>
  <w:style w:type="paragraph" w:styleId="Lista-kontynuacja5">
    <w:name w:val="List Continue 5"/>
    <w:basedOn w:val="Normalny"/>
    <w:uiPriority w:val="99"/>
    <w:unhideWhenUsed/>
    <w:rsid w:val="007F1F48"/>
    <w:pPr>
      <w:spacing w:after="120"/>
      <w:ind w:left="1491"/>
      <w:contextualSpacing/>
    </w:pPr>
  </w:style>
  <w:style w:type="paragraph" w:styleId="Lista">
    <w:name w:val="List"/>
    <w:basedOn w:val="Normalny"/>
    <w:uiPriority w:val="99"/>
    <w:unhideWhenUsed/>
    <w:rsid w:val="007F1F4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F1F48"/>
    <w:pPr>
      <w:ind w:left="714" w:hanging="357"/>
      <w:contextualSpacing/>
    </w:pPr>
  </w:style>
  <w:style w:type="paragraph" w:styleId="Lista3">
    <w:name w:val="List 3"/>
    <w:basedOn w:val="Normalny"/>
    <w:uiPriority w:val="99"/>
    <w:unhideWhenUsed/>
    <w:rsid w:val="007F1F48"/>
    <w:pPr>
      <w:ind w:left="998" w:hanging="357"/>
      <w:contextualSpacing/>
    </w:pPr>
  </w:style>
  <w:style w:type="paragraph" w:styleId="Lista4">
    <w:name w:val="List 4"/>
    <w:basedOn w:val="Normalny"/>
    <w:uiPriority w:val="99"/>
    <w:unhideWhenUsed/>
    <w:rsid w:val="002A362F"/>
    <w:pPr>
      <w:ind w:left="1281" w:hanging="357"/>
      <w:contextualSpacing/>
    </w:pPr>
  </w:style>
  <w:style w:type="paragraph" w:styleId="Lista5">
    <w:name w:val="List 5"/>
    <w:basedOn w:val="Normalny"/>
    <w:uiPriority w:val="99"/>
    <w:unhideWhenUsed/>
    <w:rsid w:val="002A362F"/>
    <w:pPr>
      <w:ind w:left="1565" w:hanging="357"/>
      <w:contextualSpacing/>
    </w:pPr>
  </w:style>
  <w:style w:type="table" w:styleId="Tabela-Siatka">
    <w:name w:val="Table Grid"/>
    <w:basedOn w:val="Standardowy"/>
    <w:uiPriority w:val="39"/>
    <w:rsid w:val="00D7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1">
    <w:name w:val="Grid Table 5 Dark Accent 1"/>
    <w:basedOn w:val="Standardowy"/>
    <w:uiPriority w:val="50"/>
    <w:rsid w:val="00931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9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0000" w:themeFill="accent1"/>
      </w:tcPr>
    </w:tblStylePr>
    <w:tblStylePr w:type="band1Vert">
      <w:tblPr/>
      <w:tcPr>
        <w:shd w:val="clear" w:color="auto" w:fill="FF9393" w:themeFill="accent1" w:themeFillTint="66"/>
      </w:tcPr>
    </w:tblStylePr>
    <w:tblStylePr w:type="band1Horz">
      <w:tblPr/>
      <w:tcPr>
        <w:shd w:val="clear" w:color="auto" w:fill="FF9393" w:themeFill="accent1" w:themeFillTint="66"/>
      </w:tcPr>
    </w:tblStylePr>
  </w:style>
  <w:style w:type="paragraph" w:customStyle="1" w:styleId="Default">
    <w:name w:val="Default"/>
    <w:qFormat/>
    <w:rsid w:val="00FD2AE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FD2AE4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2AE4"/>
  </w:style>
  <w:style w:type="character" w:styleId="Hipercze">
    <w:name w:val="Hyperlink"/>
    <w:basedOn w:val="Domylnaczcionkaakapitu"/>
    <w:uiPriority w:val="99"/>
    <w:unhideWhenUsed/>
    <w:rsid w:val="005F7205"/>
    <w:rPr>
      <w:color w:val="0070C0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0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5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4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4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om.mazovia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bloza\Documents\Niestandardowe%20szablony%20pakietu%20Office\Szablon%20bazowy%20UMWM%20ostateczny.dotx" TargetMode="External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UMW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DFA88AC5C1F4FB392E660472412FC" ma:contentTypeVersion="11" ma:contentTypeDescription="Create a new document." ma:contentTypeScope="" ma:versionID="3546732441b75de77b6884bff145e014">
  <xsd:schema xmlns:xsd="http://www.w3.org/2001/XMLSchema" xmlns:xs="http://www.w3.org/2001/XMLSchema" xmlns:p="http://schemas.microsoft.com/office/2006/metadata/properties" xmlns:ns2="469b7de3-27ac-4e9b-a3da-a4433654830d" xmlns:ns3="71b3f28b-39f6-4dfb-8e26-2f52eebfac02" targetNamespace="http://schemas.microsoft.com/office/2006/metadata/properties" ma:root="true" ma:fieldsID="438ebb2ef90f5104ab13fff9fbc4728f" ns2:_="" ns3:_="">
    <xsd:import namespace="469b7de3-27ac-4e9b-a3da-a4433654830d"/>
    <xsd:import namespace="71b3f28b-39f6-4dfb-8e26-2f52eebfac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7de3-27ac-4e9b-a3da-a44336548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3f28b-39f6-4dfb-8e26-2f52eebfac0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7256E-87C9-46DD-9AEB-F9610A11A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46102-BC66-4EFC-899F-0425175E4F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BB39E8-F725-416C-9133-EED7341D0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7de3-27ac-4e9b-a3da-a4433654830d"/>
    <ds:schemaRef ds:uri="71b3f28b-39f6-4dfb-8e26-2f52eebfac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bazowy UMWM ostateczny</Template>
  <TotalTime>14</TotalTime>
  <Pages>4</Pages>
  <Words>948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Regulamin_BOM_załącznik_do_uchwały</vt:lpstr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Regulamin_BOM_załącznik_do_uchwały</dc:title>
  <dc:subject/>
  <dc:creator>Obłoza Anna</dc:creator>
  <cp:keywords/>
  <dc:description/>
  <cp:lastModifiedBy>Marketing Mediapark</cp:lastModifiedBy>
  <cp:revision>4</cp:revision>
  <cp:lastPrinted>2021-12-14T14:01:00Z</cp:lastPrinted>
  <dcterms:created xsi:type="dcterms:W3CDTF">2021-12-28T07:46:00Z</dcterms:created>
  <dcterms:modified xsi:type="dcterms:W3CDTF">2022-01-21T13:49:00Z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0x010100E57DFA88AC5C1F4FB392E660472412FC</vt:lpwstr>
  </property>
</Properties>
</file>